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5E0C" w14:textId="26180F90" w:rsidR="00665293" w:rsidRDefault="00E50835" w:rsidP="00E50835">
      <w:pPr>
        <w:rPr>
          <w:b/>
          <w:bCs/>
          <w:sz w:val="32"/>
          <w:szCs w:val="32"/>
          <w:u w:val="single"/>
          <w:rtl/>
        </w:rPr>
      </w:pPr>
      <w:r w:rsidRPr="00E50835">
        <w:rPr>
          <w:rFonts w:hint="cs"/>
          <w:b/>
          <w:bCs/>
          <w:sz w:val="32"/>
          <w:szCs w:val="32"/>
          <w:u w:val="single"/>
          <w:rtl/>
        </w:rPr>
        <w:t>רישום שחקנים</w:t>
      </w:r>
      <w:r w:rsidR="009315CD">
        <w:rPr>
          <w:rFonts w:hint="cs"/>
          <w:b/>
          <w:bCs/>
          <w:sz w:val="32"/>
          <w:szCs w:val="32"/>
          <w:u w:val="single"/>
          <w:rtl/>
        </w:rPr>
        <w:t xml:space="preserve">, </w:t>
      </w:r>
      <w:r>
        <w:rPr>
          <w:rFonts w:hint="cs"/>
          <w:b/>
          <w:bCs/>
          <w:sz w:val="32"/>
          <w:szCs w:val="32"/>
          <w:u w:val="single"/>
          <w:rtl/>
        </w:rPr>
        <w:t>אירועים ותחרויות</w:t>
      </w:r>
      <w:r w:rsidRPr="00E50835">
        <w:rPr>
          <w:rFonts w:hint="cs"/>
          <w:b/>
          <w:bCs/>
          <w:sz w:val="32"/>
          <w:szCs w:val="32"/>
          <w:u w:val="single"/>
          <w:rtl/>
        </w:rPr>
        <w:t xml:space="preserve"> לאיגוד הישראלי לשחמט</w:t>
      </w:r>
    </w:p>
    <w:p w14:paraId="212BB39F" w14:textId="504F3F30" w:rsidR="00665293" w:rsidRDefault="00E50835" w:rsidP="00E50835">
      <w:pPr>
        <w:rPr>
          <w:rFonts w:ascii="ArialMT" w:cs="ArialMT"/>
          <w:sz w:val="24"/>
          <w:szCs w:val="24"/>
          <w:rtl/>
        </w:rPr>
      </w:pPr>
      <w:r>
        <w:rPr>
          <w:rFonts w:ascii="ArialMT" w:cs="ArialMT" w:hint="cs"/>
          <w:sz w:val="24"/>
          <w:szCs w:val="24"/>
          <w:rtl/>
        </w:rPr>
        <w:t>להלן קריטריונים לקבלת תמיכות ממשרד הספורט:</w:t>
      </w:r>
    </w:p>
    <w:p w14:paraId="6C5AEEE6" w14:textId="7CA63CF4" w:rsidR="00E50835" w:rsidRPr="00E50835" w:rsidRDefault="00E50835" w:rsidP="00E50835">
      <w:pPr>
        <w:rPr>
          <w:b/>
          <w:bCs/>
          <w:sz w:val="28"/>
          <w:szCs w:val="28"/>
        </w:rPr>
      </w:pPr>
      <w:r w:rsidRPr="00E50835">
        <w:rPr>
          <w:rFonts w:hint="cs"/>
          <w:b/>
          <w:bCs/>
          <w:sz w:val="28"/>
          <w:szCs w:val="28"/>
          <w:rtl/>
        </w:rPr>
        <w:t>אירועים ותחרויות</w:t>
      </w:r>
    </w:p>
    <w:p w14:paraId="05B84363" w14:textId="560080D2" w:rsidR="00665293" w:rsidRPr="00E50835" w:rsidRDefault="00E50835" w:rsidP="00E5083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50835">
        <w:rPr>
          <w:rFonts w:hint="cs"/>
          <w:sz w:val="28"/>
          <w:szCs w:val="28"/>
          <w:rtl/>
        </w:rPr>
        <w:t xml:space="preserve">עבור שחקנים עד גיל 12 יספרו כל אירועי החשיפה למשחק </w:t>
      </w:r>
      <w:r w:rsidRPr="00E50835">
        <w:rPr>
          <w:sz w:val="28"/>
          <w:szCs w:val="28"/>
          <w:rtl/>
        </w:rPr>
        <w:t>–</w:t>
      </w:r>
      <w:r w:rsidRPr="00E50835">
        <w:rPr>
          <w:rFonts w:hint="cs"/>
          <w:sz w:val="28"/>
          <w:szCs w:val="28"/>
          <w:rtl/>
        </w:rPr>
        <w:t xml:space="preserve"> תחרויות, חוגים, משחקים סימולטאניים, הרצאות </w:t>
      </w:r>
      <w:proofErr w:type="spellStart"/>
      <w:r w:rsidRPr="00E50835">
        <w:rPr>
          <w:rFonts w:hint="cs"/>
          <w:sz w:val="28"/>
          <w:szCs w:val="28"/>
          <w:rtl/>
        </w:rPr>
        <w:t>וכו</w:t>
      </w:r>
      <w:proofErr w:type="spellEnd"/>
      <w:r w:rsidRPr="00E50835">
        <w:rPr>
          <w:rFonts w:hint="cs"/>
          <w:sz w:val="28"/>
          <w:szCs w:val="28"/>
          <w:rtl/>
        </w:rPr>
        <w:t>'. שחקן יספר וייתן ניקוד למועדון אם ישתתף ב4 אירועים לפחות במהלך השנה (ספטמבר עד אוגוסט)</w:t>
      </w:r>
    </w:p>
    <w:p w14:paraId="411B6639" w14:textId="4D0563A2" w:rsidR="00E50835" w:rsidRDefault="00E50835" w:rsidP="00E5083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50835">
        <w:rPr>
          <w:rFonts w:hint="cs"/>
          <w:sz w:val="28"/>
          <w:szCs w:val="28"/>
          <w:rtl/>
        </w:rPr>
        <w:t xml:space="preserve">עבור שחקנים מעל גיל 12 יספרו תחרויות בלבד. שחקן יספר אם ישתתף ב4 תחרויות בלבד. חשוב להדגיש שגם תחרויות שאינן מדווחות למד כושר נספרות. </w:t>
      </w:r>
    </w:p>
    <w:p w14:paraId="62CC15D1" w14:textId="50722374" w:rsidR="00E50835" w:rsidRDefault="00E50835" w:rsidP="00E50835">
      <w:pPr>
        <w:rPr>
          <w:b/>
          <w:bCs/>
          <w:sz w:val="28"/>
          <w:szCs w:val="28"/>
          <w:rtl/>
        </w:rPr>
      </w:pPr>
      <w:r w:rsidRPr="00E50835">
        <w:rPr>
          <w:rFonts w:hint="cs"/>
          <w:b/>
          <w:bCs/>
          <w:sz w:val="28"/>
          <w:szCs w:val="28"/>
          <w:rtl/>
        </w:rPr>
        <w:t>הישגים</w:t>
      </w:r>
    </w:p>
    <w:p w14:paraId="45C6EC50" w14:textId="1B2CFC9D" w:rsidR="00E50835" w:rsidRPr="00A07AF4" w:rsidRDefault="00E50835" w:rsidP="00E50835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כל תוצאה בחצי העליון של אליפות ישראל</w:t>
      </w:r>
      <w:r w:rsidR="009315CD">
        <w:rPr>
          <w:rFonts w:hint="cs"/>
          <w:sz w:val="28"/>
          <w:szCs w:val="28"/>
          <w:rtl/>
        </w:rPr>
        <w:t xml:space="preserve"> (מכל הסוגים </w:t>
      </w:r>
      <w:r w:rsidR="009315CD">
        <w:rPr>
          <w:sz w:val="28"/>
          <w:szCs w:val="28"/>
          <w:rtl/>
        </w:rPr>
        <w:t>–</w:t>
      </w:r>
      <w:r w:rsidR="009315CD">
        <w:rPr>
          <w:rFonts w:hint="cs"/>
          <w:sz w:val="28"/>
          <w:szCs w:val="28"/>
          <w:rtl/>
        </w:rPr>
        <w:t xml:space="preserve"> בוגרים, נוער, נשים, סניורים)</w:t>
      </w:r>
      <w:r>
        <w:rPr>
          <w:rFonts w:hint="cs"/>
          <w:sz w:val="28"/>
          <w:szCs w:val="28"/>
          <w:rtl/>
        </w:rPr>
        <w:t xml:space="preserve">, אליפות אירופה, אליפות עולם </w:t>
      </w:r>
      <w:r w:rsidR="00A07AF4">
        <w:rPr>
          <w:rFonts w:hint="cs"/>
          <w:sz w:val="28"/>
          <w:szCs w:val="28"/>
          <w:rtl/>
        </w:rPr>
        <w:t xml:space="preserve">או אולימפיאדה מזכה את המועדון בניקוד נוסף. </w:t>
      </w:r>
    </w:p>
    <w:p w14:paraId="1E904F4B" w14:textId="262CF1A5" w:rsidR="00A07AF4" w:rsidRDefault="00A07AF4" w:rsidP="00A07A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ניקוד השחקנים תלוי בגיל ומין השחקן שחקנים לפי הטבלה הבאה: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50"/>
        <w:gridCol w:w="2482"/>
      </w:tblGrid>
      <w:tr w:rsidR="00A07AF4" w14:paraId="34FDE432" w14:textId="77777777" w:rsidTr="00B80ADF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FFB0238" w14:textId="316A6B06" w:rsidR="00A07AF4" w:rsidRDefault="00B80ADF" w:rsidP="00B80A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="00A07AF4">
              <w:rPr>
                <w:rFonts w:hint="cs"/>
                <w:sz w:val="28"/>
                <w:szCs w:val="28"/>
                <w:rtl/>
              </w:rPr>
              <w:t>זכר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B9101C5" w14:textId="572C4DCF" w:rsidR="00A07AF4" w:rsidRDefault="00A07AF4" w:rsidP="00A07AF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נקבה</w:t>
            </w:r>
          </w:p>
        </w:tc>
      </w:tr>
      <w:tr w:rsidR="00A07AF4" w14:paraId="77E25914" w14:textId="77777777" w:rsidTr="00B80ADF">
        <w:trPr>
          <w:trHeight w:val="257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2464" w:type="dxa"/>
              <w:tblLook w:val="04A0" w:firstRow="1" w:lastRow="0" w:firstColumn="1" w:lastColumn="0" w:noHBand="0" w:noVBand="1"/>
            </w:tblPr>
            <w:tblGrid>
              <w:gridCol w:w="754"/>
              <w:gridCol w:w="810"/>
              <w:gridCol w:w="900"/>
            </w:tblGrid>
            <w:tr w:rsidR="00A07AF4" w:rsidRPr="00A07AF4" w14:paraId="19AA8E1E" w14:textId="77777777" w:rsidTr="00FF470E">
              <w:trPr>
                <w:trHeight w:val="275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708F1D8B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  <w:t>גיל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3D6D3EFA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  <w:t>גיל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2315E2CD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  <w:t>ניקוד</w:t>
                  </w:r>
                </w:p>
              </w:tc>
            </w:tr>
            <w:tr w:rsidR="00A07AF4" w:rsidRPr="00A07AF4" w14:paraId="02CC224F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ADEDA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35C1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ED773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0.1</w:t>
                  </w:r>
                </w:p>
              </w:tc>
            </w:tr>
            <w:tr w:rsidR="00A07AF4" w:rsidRPr="00A07AF4" w14:paraId="54CC3A61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CE7C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5DD0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FDF08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</w:t>
                  </w:r>
                </w:p>
              </w:tc>
            </w:tr>
            <w:tr w:rsidR="00A07AF4" w:rsidRPr="00A07AF4" w14:paraId="7021B396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7A79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F48A1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05B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2</w:t>
                  </w:r>
                </w:p>
              </w:tc>
            </w:tr>
            <w:tr w:rsidR="00A07AF4" w:rsidRPr="00A07AF4" w14:paraId="1ED20067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38298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5D9DC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3A231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4</w:t>
                  </w:r>
                </w:p>
              </w:tc>
            </w:tr>
            <w:tr w:rsidR="00A07AF4" w:rsidRPr="00A07AF4" w14:paraId="10C37A1D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37A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1B90A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49776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6</w:t>
                  </w:r>
                </w:p>
              </w:tc>
            </w:tr>
            <w:tr w:rsidR="00A07AF4" w:rsidRPr="00A07AF4" w14:paraId="73F213DE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061C2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44B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442C3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4</w:t>
                  </w:r>
                </w:p>
              </w:tc>
            </w:tr>
            <w:tr w:rsidR="00A07AF4" w:rsidRPr="00A07AF4" w14:paraId="41A841F5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13478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6AD2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D3E36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0.5</w:t>
                  </w:r>
                </w:p>
              </w:tc>
            </w:tr>
            <w:tr w:rsidR="00A07AF4" w:rsidRPr="00A07AF4" w14:paraId="27781AA1" w14:textId="77777777" w:rsidTr="00FF470E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73183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62CE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2482F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538DD5"/>
                      <w:sz w:val="20"/>
                      <w:szCs w:val="20"/>
                    </w:rPr>
                    <w:t>0.1</w:t>
                  </w:r>
                </w:p>
              </w:tc>
            </w:tr>
          </w:tbl>
          <w:p w14:paraId="0B280EEF" w14:textId="77777777" w:rsidR="00A07AF4" w:rsidRDefault="00A07AF4" w:rsidP="00A07AF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2155" w:type="dxa"/>
              <w:tblLook w:val="04A0" w:firstRow="1" w:lastRow="0" w:firstColumn="1" w:lastColumn="0" w:noHBand="0" w:noVBand="1"/>
            </w:tblPr>
            <w:tblGrid>
              <w:gridCol w:w="715"/>
              <w:gridCol w:w="720"/>
              <w:gridCol w:w="720"/>
            </w:tblGrid>
            <w:tr w:rsidR="00B80ADF" w:rsidRPr="00A07AF4" w14:paraId="57CC70B2" w14:textId="77777777" w:rsidTr="00B80ADF">
              <w:trPr>
                <w:trHeight w:val="302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3B728A3B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  <w:t>גיל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342DBAB2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  <w:t>גיל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59602085" w14:textId="77777777" w:rsidR="00A07AF4" w:rsidRPr="00A07AF4" w:rsidRDefault="00A07AF4" w:rsidP="00A07AF4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  <w:t>ניקוד</w:t>
                  </w:r>
                </w:p>
              </w:tc>
            </w:tr>
            <w:tr w:rsidR="00A07AF4" w:rsidRPr="00A07AF4" w14:paraId="58BD576B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C497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  <w:rtl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B03D1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E3B7F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0.1</w:t>
                  </w:r>
                </w:p>
              </w:tc>
            </w:tr>
            <w:tr w:rsidR="00A07AF4" w:rsidRPr="00A07AF4" w14:paraId="080CAABD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F8D71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225A2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A7BCF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</w:t>
                  </w:r>
                </w:p>
              </w:tc>
            </w:tr>
            <w:tr w:rsidR="00A07AF4" w:rsidRPr="00A07AF4" w14:paraId="67352197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ED5EC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1A098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AA33D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2</w:t>
                  </w:r>
                </w:p>
              </w:tc>
            </w:tr>
            <w:tr w:rsidR="00A07AF4" w:rsidRPr="00A07AF4" w14:paraId="36636EDF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6942A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F0832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A203C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6</w:t>
                  </w:r>
                </w:p>
              </w:tc>
            </w:tr>
            <w:tr w:rsidR="00A07AF4" w:rsidRPr="00A07AF4" w14:paraId="1309219A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1290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F6DA7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E420F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10</w:t>
                  </w:r>
                </w:p>
              </w:tc>
            </w:tr>
            <w:tr w:rsidR="00A07AF4" w:rsidRPr="00A07AF4" w14:paraId="41C08397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AD6DA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15518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A42C7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4</w:t>
                  </w:r>
                </w:p>
              </w:tc>
            </w:tr>
            <w:tr w:rsidR="00A07AF4" w:rsidRPr="00A07AF4" w14:paraId="670FC959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13A5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F67F9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49CCA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0.5</w:t>
                  </w:r>
                </w:p>
              </w:tc>
            </w:tr>
            <w:tr w:rsidR="00A07AF4" w:rsidRPr="00A07AF4" w14:paraId="54E81F02" w14:textId="77777777" w:rsidTr="00B80ADF">
              <w:trPr>
                <w:trHeight w:val="25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C3E9C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ADA5C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E6A6" w14:textId="77777777" w:rsidR="00A07AF4" w:rsidRPr="00A07AF4" w:rsidRDefault="00A07AF4" w:rsidP="00A07AF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</w:pPr>
                  <w:r w:rsidRPr="00A07AF4">
                    <w:rPr>
                      <w:rFonts w:ascii="Arial" w:eastAsia="Times New Roman" w:hAnsi="Arial"/>
                      <w:b/>
                      <w:bCs/>
                      <w:color w:val="FF66CC"/>
                      <w:sz w:val="20"/>
                      <w:szCs w:val="20"/>
                    </w:rPr>
                    <w:t>0.1</w:t>
                  </w:r>
                </w:p>
              </w:tc>
            </w:tr>
          </w:tbl>
          <w:p w14:paraId="1AD1A637" w14:textId="77777777" w:rsidR="00A07AF4" w:rsidRDefault="00A07AF4" w:rsidP="00A07AF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96EFFD4" w14:textId="0654104D" w:rsidR="00E50835" w:rsidRDefault="00B80ADF" w:rsidP="00E50835">
      <w:pPr>
        <w:rPr>
          <w:sz w:val="28"/>
          <w:szCs w:val="28"/>
          <w:rtl/>
        </w:rPr>
      </w:pPr>
      <w:r w:rsidRPr="00B80ADF">
        <w:rPr>
          <w:rFonts w:hint="cs"/>
          <w:sz w:val="28"/>
          <w:szCs w:val="28"/>
          <w:rtl/>
        </w:rPr>
        <w:t xml:space="preserve">על כן, </w:t>
      </w:r>
      <w:r>
        <w:rPr>
          <w:rFonts w:hint="cs"/>
          <w:sz w:val="28"/>
          <w:szCs w:val="28"/>
          <w:rtl/>
        </w:rPr>
        <w:t>להלן דגשים למנהלי מועדונים על מנת למקסם את הניקוד שהמועדון מקבל במנהל הספורט בד</w:t>
      </w:r>
      <w:r w:rsidR="00787E4F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חות השנתיים:</w:t>
      </w:r>
    </w:p>
    <w:p w14:paraId="695C2087" w14:textId="5E8EF48D" w:rsidR="00B80ADF" w:rsidRDefault="00B80ADF" w:rsidP="00B80AD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הזנת השחקנים הלא מדורגים למאגר המידע של האיגוד תעשה באמצעות טופס רישום פשוט: </w:t>
      </w:r>
      <w:hyperlink r:id="rId7" w:history="1">
        <w:r w:rsidR="006F11BE" w:rsidRPr="009014A0">
          <w:rPr>
            <w:rStyle w:val="Hyperlink"/>
            <w:sz w:val="28"/>
            <w:szCs w:val="28"/>
          </w:rPr>
          <w:t>http://www.chess.org.il/quickregister</w:t>
        </w:r>
      </w:hyperlink>
      <w:r w:rsidR="00C83207">
        <w:rPr>
          <w:rFonts w:hint="cs"/>
          <w:sz w:val="28"/>
          <w:szCs w:val="28"/>
          <w:rtl/>
        </w:rPr>
        <w:t xml:space="preserve"> </w:t>
      </w:r>
    </w:p>
    <w:p w14:paraId="28965C8F" w14:textId="1F044746" w:rsidR="00B80ADF" w:rsidRDefault="00B80ADF" w:rsidP="00B80AD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לרשום כל אירוע חשיפה לילדים עד גיל 12.</w:t>
      </w:r>
    </w:p>
    <w:p w14:paraId="3D396D34" w14:textId="2528D731" w:rsidR="00B80ADF" w:rsidRDefault="00B80ADF" w:rsidP="00B80AD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לרשום למאגר המידע כל שחקן שמשתתף בתחרויות, גם אם אלה לא מדווחות למד כושר</w:t>
      </w:r>
      <w:r w:rsidR="00C96008">
        <w:rPr>
          <w:rFonts w:hint="cs"/>
          <w:sz w:val="28"/>
          <w:szCs w:val="28"/>
          <w:rtl/>
        </w:rPr>
        <w:t xml:space="preserve">. </w:t>
      </w:r>
    </w:p>
    <w:p w14:paraId="01D91D34" w14:textId="114A99E2" w:rsidR="00C96008" w:rsidRDefault="005668B0" w:rsidP="00B80AD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יש</w:t>
      </w:r>
      <w:r w:rsidR="00C96008">
        <w:rPr>
          <w:rFonts w:hint="cs"/>
          <w:sz w:val="28"/>
          <w:szCs w:val="28"/>
          <w:rtl/>
        </w:rPr>
        <w:t xml:space="preserve"> לדווח כל תחרות שהתקיימה במועד</w:t>
      </w:r>
      <w:r>
        <w:rPr>
          <w:rFonts w:hint="cs"/>
          <w:sz w:val="28"/>
          <w:szCs w:val="28"/>
          <w:rtl/>
        </w:rPr>
        <w:t xml:space="preserve">ונים או בפעילויות מחוץ למועדון, גם אם לא דווחה למד כושר. </w:t>
      </w:r>
    </w:p>
    <w:p w14:paraId="5E89D212" w14:textId="314D699B" w:rsidR="00B80ADF" w:rsidRDefault="00B80ADF" w:rsidP="00B80AD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כדי להוסיף ילד הלומד בפרויקט "שחמט לכל ילד" למאגר המידע יש </w:t>
      </w:r>
      <w:r w:rsidR="00C83207">
        <w:rPr>
          <w:rFonts w:hint="cs"/>
          <w:sz w:val="28"/>
          <w:szCs w:val="28"/>
          <w:rtl/>
        </w:rPr>
        <w:t xml:space="preserve">למלא טופס רישום שחקן ולקבל גם חתימת הורים על כך שהם מאשרים את הוספת השחקן למאגר המידה. את הטפסים החתומים יש להעביר או פיזית לאיגוד השחמט או בדוא"ל לכתובת </w:t>
      </w:r>
      <w:hyperlink r:id="rId8" w:history="1">
        <w:r w:rsidR="00C83207" w:rsidRPr="009014A0">
          <w:rPr>
            <w:rStyle w:val="Hyperlink"/>
            <w:sz w:val="28"/>
            <w:szCs w:val="28"/>
          </w:rPr>
          <w:t>liga@chessfed.org.il</w:t>
        </w:r>
      </w:hyperlink>
    </w:p>
    <w:p w14:paraId="21BB055D" w14:textId="0F843656" w:rsidR="00C83207" w:rsidRDefault="00C83207" w:rsidP="00C83207">
      <w:pPr>
        <w:pStyle w:val="ListParagraph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ניתן מצוא את טופס רישום השחקן בכתובת </w:t>
      </w:r>
      <w:hyperlink r:id="rId9" w:history="1">
        <w:r w:rsidR="003B4F1C" w:rsidRPr="009014A0">
          <w:rPr>
            <w:rStyle w:val="Hyperlink"/>
            <w:sz w:val="28"/>
            <w:szCs w:val="28"/>
          </w:rPr>
          <w:t>http://www.chess.org.il/QuickRegister</w:t>
        </w:r>
      </w:hyperlink>
    </w:p>
    <w:p w14:paraId="7B523EBD" w14:textId="45F181D3" w:rsidR="00B80ADF" w:rsidRDefault="009315CD" w:rsidP="005668B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גם עבור כל מדריך\מאמן המועסק על ידי המועדון מתקבל ניקוד. לקראת מועד מסירת הדוחות, מועדונים יקבלו מייל עם בקשה למלא מיהם המאמנים\מדריכים שמועסקים על ידי המועדון, ובאיזה היקף משרה הם מועסקים. </w:t>
      </w:r>
    </w:p>
    <w:p w14:paraId="5D8B913D" w14:textId="6CBE4D04" w:rsidR="009315CD" w:rsidRDefault="009315CD" w:rsidP="009315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תודה על שיתוף הפעולה</w:t>
      </w:r>
    </w:p>
    <w:p w14:paraId="5B9D762E" w14:textId="66736FE5" w:rsidR="009315CD" w:rsidRDefault="009315CD" w:rsidP="009315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שאול ויינשטיין</w:t>
      </w:r>
    </w:p>
    <w:p w14:paraId="7598855F" w14:textId="2CD00D55" w:rsidR="009315CD" w:rsidRDefault="009315CD" w:rsidP="009315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סמנכ"ל מקצועי</w:t>
      </w:r>
    </w:p>
    <w:p w14:paraId="4D4A0C8B" w14:textId="4432F8A8" w:rsidR="009315CD" w:rsidRDefault="009315CD" w:rsidP="009315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האיגוד הישראלי לשחמט</w:t>
      </w:r>
    </w:p>
    <w:p w14:paraId="727A22B0" w14:textId="439665DC" w:rsidR="009315CD" w:rsidRDefault="009315CD" w:rsidP="009315CD">
      <w:pPr>
        <w:rPr>
          <w:sz w:val="28"/>
          <w:szCs w:val="28"/>
          <w:rtl/>
        </w:rPr>
      </w:pPr>
    </w:p>
    <w:p w14:paraId="7BCE8A7A" w14:textId="506B1AB3" w:rsidR="009315CD" w:rsidRPr="009315CD" w:rsidRDefault="009315CD" w:rsidP="009315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עדכון אחרון</w:t>
      </w:r>
      <w:r w:rsidR="00E57FBC"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>6.11.2021</w:t>
      </w:r>
    </w:p>
    <w:sectPr w:rsidR="009315CD" w:rsidRPr="009315CD" w:rsidSect="000D1C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694" w:right="1800" w:bottom="127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896" w14:textId="77777777" w:rsidR="00DD2CD0" w:rsidRDefault="00DD2CD0" w:rsidP="00242C7B">
      <w:pPr>
        <w:spacing w:after="0" w:line="240" w:lineRule="auto"/>
      </w:pPr>
      <w:r>
        <w:separator/>
      </w:r>
    </w:p>
  </w:endnote>
  <w:endnote w:type="continuationSeparator" w:id="0">
    <w:p w14:paraId="5352EA91" w14:textId="77777777" w:rsidR="00DD2CD0" w:rsidRDefault="00DD2CD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8421" w14:textId="77777777" w:rsidR="00560C2D" w:rsidRDefault="00560C2D" w:rsidP="00AC7763">
    <w:pPr>
      <w:pStyle w:val="Footer"/>
      <w:pBdr>
        <w:top w:val="single" w:sz="18" w:space="1" w:color="0070C0"/>
      </w:pBdr>
      <w:jc w:val="center"/>
      <w:rPr>
        <w:rtl/>
      </w:rPr>
    </w:pPr>
  </w:p>
  <w:p w14:paraId="6B239411" w14:textId="77777777" w:rsidR="00560C2D" w:rsidRPr="00AC7763" w:rsidRDefault="00560C2D" w:rsidP="00AC7763">
    <w:pPr>
      <w:pStyle w:val="Footer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טאגור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14:paraId="4EF44537" w14:textId="77777777" w:rsidR="00560C2D" w:rsidRPr="00AC7763" w:rsidRDefault="00560C2D" w:rsidP="00AC7763">
    <w:pPr>
      <w:pStyle w:val="Footer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0C101E55" w14:textId="77777777" w:rsidR="00560C2D" w:rsidRDefault="0056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467" w14:textId="77777777" w:rsidR="00DD2CD0" w:rsidRDefault="00DD2CD0" w:rsidP="00242C7B">
      <w:pPr>
        <w:spacing w:after="0" w:line="240" w:lineRule="auto"/>
      </w:pPr>
      <w:r>
        <w:separator/>
      </w:r>
    </w:p>
  </w:footnote>
  <w:footnote w:type="continuationSeparator" w:id="0">
    <w:p w14:paraId="7704DF0E" w14:textId="77777777" w:rsidR="00DD2CD0" w:rsidRDefault="00DD2CD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4FBD" w14:textId="77777777" w:rsidR="00560C2D" w:rsidRDefault="00DD2CD0">
    <w:pPr>
      <w:pStyle w:val="Header"/>
    </w:pPr>
    <w:r>
      <w:rPr>
        <w:noProof/>
      </w:rPr>
      <w:pict w14:anchorId="5F1B6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3C30" w14:textId="14E644B0" w:rsidR="00560C2D" w:rsidRDefault="00710A63" w:rsidP="00C83412">
    <w:pPr>
      <w:pStyle w:val="Header"/>
      <w:jc w:val="center"/>
    </w:pPr>
    <w:r>
      <w:object w:dxaOrig="8041" w:dyaOrig="4364" w14:anchorId="38528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92.25pt">
          <v:imagedata r:id="rId1" o:title=""/>
        </v:shape>
        <o:OLEObject Type="Embed" ProgID="PBrush" ShapeID="_x0000_i1025" DrawAspect="Content" ObjectID="_169773888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BB0F" w14:textId="77777777" w:rsidR="00560C2D" w:rsidRDefault="00DD2CD0">
    <w:pPr>
      <w:pStyle w:val="Header"/>
    </w:pPr>
    <w:r>
      <w:rPr>
        <w:noProof/>
      </w:rPr>
      <w:pict w14:anchorId="5249C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2D"/>
    <w:multiLevelType w:val="hybridMultilevel"/>
    <w:tmpl w:val="9C12D0C0"/>
    <w:lvl w:ilvl="0" w:tplc="34B42F0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C7EDDEC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0435AC">
      <w:start w:val="3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22172"/>
    <w:multiLevelType w:val="hybridMultilevel"/>
    <w:tmpl w:val="2E3E6E24"/>
    <w:lvl w:ilvl="0" w:tplc="86AC08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4D246E"/>
    <w:multiLevelType w:val="hybridMultilevel"/>
    <w:tmpl w:val="A70E54BE"/>
    <w:lvl w:ilvl="0" w:tplc="F99EE7C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008EB"/>
    <w:multiLevelType w:val="hybridMultilevel"/>
    <w:tmpl w:val="DDD4A1D2"/>
    <w:lvl w:ilvl="0" w:tplc="61E890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CDC"/>
    <w:multiLevelType w:val="hybridMultilevel"/>
    <w:tmpl w:val="B5866336"/>
    <w:lvl w:ilvl="0" w:tplc="9138852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720C2"/>
    <w:multiLevelType w:val="hybridMultilevel"/>
    <w:tmpl w:val="46D49DD4"/>
    <w:lvl w:ilvl="0" w:tplc="2EFE1656">
      <w:start w:val="1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17B9"/>
    <w:multiLevelType w:val="hybridMultilevel"/>
    <w:tmpl w:val="241A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0657"/>
    <w:multiLevelType w:val="hybridMultilevel"/>
    <w:tmpl w:val="361EAD50"/>
    <w:lvl w:ilvl="0" w:tplc="7D2EB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F1B0A"/>
    <w:multiLevelType w:val="hybridMultilevel"/>
    <w:tmpl w:val="DCB242B2"/>
    <w:lvl w:ilvl="0" w:tplc="97169E3C">
      <w:start w:val="1"/>
      <w:numFmt w:val="bullet"/>
      <w:lvlText w:val="-"/>
      <w:lvlJc w:val="left"/>
      <w:pPr>
        <w:ind w:left="360" w:hanging="360"/>
      </w:pPr>
      <w:rPr>
        <w:rFonts w:ascii="ArialMT" w:eastAsia="Calibri" w:hAnsi="Calibri" w:cs="Aria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B29E9"/>
    <w:multiLevelType w:val="hybridMultilevel"/>
    <w:tmpl w:val="84C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23C0"/>
    <w:multiLevelType w:val="hybridMultilevel"/>
    <w:tmpl w:val="C9A8DAE2"/>
    <w:lvl w:ilvl="0" w:tplc="87A08F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E3785"/>
    <w:multiLevelType w:val="hybridMultilevel"/>
    <w:tmpl w:val="757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7F77"/>
    <w:rsid w:val="00012882"/>
    <w:rsid w:val="00045E53"/>
    <w:rsid w:val="0004610A"/>
    <w:rsid w:val="0005311A"/>
    <w:rsid w:val="000664B0"/>
    <w:rsid w:val="000D1CF9"/>
    <w:rsid w:val="001248C1"/>
    <w:rsid w:val="001464F7"/>
    <w:rsid w:val="00150427"/>
    <w:rsid w:val="00183E01"/>
    <w:rsid w:val="001A047F"/>
    <w:rsid w:val="001A0F8B"/>
    <w:rsid w:val="001D0B3D"/>
    <w:rsid w:val="001D5CCA"/>
    <w:rsid w:val="001E3D96"/>
    <w:rsid w:val="00221F26"/>
    <w:rsid w:val="0023370D"/>
    <w:rsid w:val="00242C7B"/>
    <w:rsid w:val="00242E3A"/>
    <w:rsid w:val="002714C8"/>
    <w:rsid w:val="00274C68"/>
    <w:rsid w:val="0028293B"/>
    <w:rsid w:val="00292087"/>
    <w:rsid w:val="002C191E"/>
    <w:rsid w:val="003127EC"/>
    <w:rsid w:val="00325CCC"/>
    <w:rsid w:val="00364523"/>
    <w:rsid w:val="00371268"/>
    <w:rsid w:val="00372764"/>
    <w:rsid w:val="003B4F1C"/>
    <w:rsid w:val="003E2A46"/>
    <w:rsid w:val="003F6BCF"/>
    <w:rsid w:val="004423E4"/>
    <w:rsid w:val="00491F4E"/>
    <w:rsid w:val="00497DA1"/>
    <w:rsid w:val="004C04F6"/>
    <w:rsid w:val="004D186B"/>
    <w:rsid w:val="004E31D0"/>
    <w:rsid w:val="004F3BF9"/>
    <w:rsid w:val="004F4813"/>
    <w:rsid w:val="004F7781"/>
    <w:rsid w:val="005534EE"/>
    <w:rsid w:val="00560C2D"/>
    <w:rsid w:val="005668B0"/>
    <w:rsid w:val="005C4A35"/>
    <w:rsid w:val="005D67B9"/>
    <w:rsid w:val="005E00B6"/>
    <w:rsid w:val="005F0134"/>
    <w:rsid w:val="00600992"/>
    <w:rsid w:val="00624ECC"/>
    <w:rsid w:val="00650909"/>
    <w:rsid w:val="00656DC2"/>
    <w:rsid w:val="006600F8"/>
    <w:rsid w:val="00665293"/>
    <w:rsid w:val="00687217"/>
    <w:rsid w:val="006C4D1A"/>
    <w:rsid w:val="006D720C"/>
    <w:rsid w:val="006E3BCC"/>
    <w:rsid w:val="006F11BE"/>
    <w:rsid w:val="006F3473"/>
    <w:rsid w:val="00710A63"/>
    <w:rsid w:val="00734559"/>
    <w:rsid w:val="00745AF6"/>
    <w:rsid w:val="00787E4F"/>
    <w:rsid w:val="007C3F08"/>
    <w:rsid w:val="007C76F9"/>
    <w:rsid w:val="00805E8D"/>
    <w:rsid w:val="00815401"/>
    <w:rsid w:val="00834135"/>
    <w:rsid w:val="00846DF4"/>
    <w:rsid w:val="008874E4"/>
    <w:rsid w:val="008908BE"/>
    <w:rsid w:val="009159D3"/>
    <w:rsid w:val="00923996"/>
    <w:rsid w:val="009315CD"/>
    <w:rsid w:val="00991504"/>
    <w:rsid w:val="009A3858"/>
    <w:rsid w:val="009B20A5"/>
    <w:rsid w:val="009C0601"/>
    <w:rsid w:val="009C4F9E"/>
    <w:rsid w:val="00A07AF4"/>
    <w:rsid w:val="00A35B44"/>
    <w:rsid w:val="00A378D8"/>
    <w:rsid w:val="00A40ED5"/>
    <w:rsid w:val="00A46AF0"/>
    <w:rsid w:val="00A46CD7"/>
    <w:rsid w:val="00A813BD"/>
    <w:rsid w:val="00A876DE"/>
    <w:rsid w:val="00AC7763"/>
    <w:rsid w:val="00AD19E5"/>
    <w:rsid w:val="00AD52CE"/>
    <w:rsid w:val="00AE102A"/>
    <w:rsid w:val="00AF294E"/>
    <w:rsid w:val="00B228E6"/>
    <w:rsid w:val="00B43255"/>
    <w:rsid w:val="00B54B23"/>
    <w:rsid w:val="00B61CBC"/>
    <w:rsid w:val="00B6781D"/>
    <w:rsid w:val="00B80ADF"/>
    <w:rsid w:val="00C12FB9"/>
    <w:rsid w:val="00C46B98"/>
    <w:rsid w:val="00C813B7"/>
    <w:rsid w:val="00C83207"/>
    <w:rsid w:val="00C83412"/>
    <w:rsid w:val="00C96008"/>
    <w:rsid w:val="00CB6803"/>
    <w:rsid w:val="00CB6B10"/>
    <w:rsid w:val="00D00595"/>
    <w:rsid w:val="00D46E42"/>
    <w:rsid w:val="00D7292B"/>
    <w:rsid w:val="00DC14B2"/>
    <w:rsid w:val="00DD2CD0"/>
    <w:rsid w:val="00DF00AC"/>
    <w:rsid w:val="00E232B9"/>
    <w:rsid w:val="00E50835"/>
    <w:rsid w:val="00E50B47"/>
    <w:rsid w:val="00E53C99"/>
    <w:rsid w:val="00E57FBC"/>
    <w:rsid w:val="00E633FD"/>
    <w:rsid w:val="00E81419"/>
    <w:rsid w:val="00E84410"/>
    <w:rsid w:val="00E92280"/>
    <w:rsid w:val="00ED3BFF"/>
    <w:rsid w:val="00ED668A"/>
    <w:rsid w:val="00F27152"/>
    <w:rsid w:val="00F31DB7"/>
    <w:rsid w:val="00F422B0"/>
    <w:rsid w:val="00F52625"/>
    <w:rsid w:val="00F557A3"/>
    <w:rsid w:val="00FC6117"/>
    <w:rsid w:val="00FF0CD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120A9"/>
  <w15:docId w15:val="{F7DE64E4-BC73-423F-BFB9-692654C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AF6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632423" w:themeColor="accen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AF6"/>
    <w:pPr>
      <w:keepNext/>
      <w:keepLines/>
      <w:spacing w:before="40" w:after="0"/>
      <w:outlineLvl w:val="1"/>
    </w:pPr>
    <w:rPr>
      <w:rFonts w:asciiTheme="minorBidi" w:eastAsiaTheme="majorEastAsia" w:hAnsiTheme="minorBidi" w:cstheme="minorBidi"/>
      <w:color w:val="632423" w:themeColor="accent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77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74E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D668A"/>
    <w:rPr>
      <w:b/>
      <w:bCs/>
    </w:rPr>
  </w:style>
  <w:style w:type="character" w:customStyle="1" w:styleId="msodel0">
    <w:name w:val="msodel"/>
    <w:basedOn w:val="DefaultParagraphFont"/>
    <w:rsid w:val="00ED668A"/>
  </w:style>
  <w:style w:type="character" w:customStyle="1" w:styleId="msoins0">
    <w:name w:val="msoins"/>
    <w:basedOn w:val="DefaultParagraphFont"/>
    <w:rsid w:val="00ED668A"/>
  </w:style>
  <w:style w:type="paragraph" w:styleId="Title">
    <w:name w:val="Title"/>
    <w:basedOn w:val="Normal"/>
    <w:next w:val="Normal"/>
    <w:link w:val="TitleChar"/>
    <w:uiPriority w:val="10"/>
    <w:qFormat/>
    <w:rsid w:val="00815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AF6"/>
    <w:rPr>
      <w:rFonts w:asciiTheme="minorBidi" w:eastAsiaTheme="majorEastAsia" w:hAnsiTheme="minorBidi" w:cstheme="majorBidi"/>
      <w:color w:val="632423" w:themeColor="accent2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FF0C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5AF6"/>
    <w:rPr>
      <w:rFonts w:asciiTheme="minorBidi" w:eastAsiaTheme="majorEastAsia" w:hAnsiTheme="minorBidi" w:cstheme="minorBidi"/>
      <w:color w:val="632423" w:themeColor="accent2" w:themeShade="80"/>
      <w:sz w:val="26"/>
      <w:szCs w:val="26"/>
    </w:rPr>
  </w:style>
  <w:style w:type="table" w:styleId="TableGrid">
    <w:name w:val="Table Grid"/>
    <w:basedOn w:val="TableNormal"/>
    <w:uiPriority w:val="59"/>
    <w:rsid w:val="00C8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89EB3"/>
                        <w:left w:val="single" w:sz="6" w:space="4" w:color="689EB3"/>
                        <w:bottom w:val="single" w:sz="6" w:space="4" w:color="689EB3"/>
                        <w:right w:val="single" w:sz="6" w:space="4" w:color="689EB3"/>
                      </w:divBdr>
                      <w:divsChild>
                        <w:div w:id="546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chessfed.org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ss.org.il/quickregis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ss.org.il/QuickRegis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האיגוד הישראלי לשחמט – (עמותה רשומה) 22/3/2013</vt:lpstr>
      <vt:lpstr>תקנון האיגוד הישראלי לשחמט – (עמותה רשומה) 22/3/2013</vt:lpstr>
    </vt:vector>
  </TitlesOfParts>
  <Company>Microsoft</Company>
  <LinksUpToDate>false</LinksUpToDate>
  <CharactersWithSpaces>2031</CharactersWithSpaces>
  <SharedDoc>false</SharedDoc>
  <HLinks>
    <vt:vector size="12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mailto:office@chessfed.org.il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האיגוד הישראלי לשחמט – (עמותה רשומה) 22/3/2013</dc:title>
  <dc:creator>Livni Alcasid</dc:creator>
  <cp:lastModifiedBy>Shaul Weinstein</cp:lastModifiedBy>
  <cp:revision>3</cp:revision>
  <cp:lastPrinted>2021-02-10T09:56:00Z</cp:lastPrinted>
  <dcterms:created xsi:type="dcterms:W3CDTF">2021-11-06T09:49:00Z</dcterms:created>
  <dcterms:modified xsi:type="dcterms:W3CDTF">2021-11-06T19:22:00Z</dcterms:modified>
</cp:coreProperties>
</file>